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32F8" w14:textId="65CA71F0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20/05/24</w:t>
      </w:r>
    </w:p>
    <w:p w14:paraId="3A66B3FF" w14:textId="77777777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49710507" w14:textId="178EDABE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(Draft 1) Heads of Agreement </w:t>
      </w:r>
    </w:p>
    <w:p w14:paraId="346A0722" w14:textId="6C3A4936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By and Between</w:t>
      </w:r>
    </w:p>
    <w:p w14:paraId="08392075" w14:textId="77777777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75BD0315" w14:textId="06366BDE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Hankelow Parish Council (HPC</w:t>
      </w:r>
    </w:p>
    <w:p w14:paraId="301CDA7F" w14:textId="77777777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69B7FBA6" w14:textId="4516E3A8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And</w:t>
      </w:r>
    </w:p>
    <w:p w14:paraId="00728D25" w14:textId="77777777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1E3DE804" w14:textId="2E196CF3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The White Lion Community Pub Hankelow Limited (WL)</w:t>
      </w:r>
    </w:p>
    <w:p w14:paraId="568027D7" w14:textId="77777777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</w:p>
    <w:p w14:paraId="423105ED" w14:textId="5B473A78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1.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  <w:t xml:space="preserve">HPC will warrant it has ownership of the green and the pond and that no other parties have any rights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a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ffecting it and </w:t>
      </w:r>
      <w:r w:rsidR="00592A40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that it 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has </w:t>
      </w:r>
      <w:r w:rsidR="00592A40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full 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authority to enter into the agreement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2.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  <w:t>HPC grants a formal easement over the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 demised area identified on the map at Appendix One</w:t>
      </w:r>
    </w:p>
    <w:p w14:paraId="129ED070" w14:textId="77777777" w:rsidR="00592A40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3.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  <w:t xml:space="preserve">HPC grant access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to any authorised person or contractor acting for WL 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on notice for any routine maintenance or inspection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works 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and without notice in the event of any emergency </w:t>
      </w:r>
      <w:r w:rsidR="00592A40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or to prevent any emergency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.  </w:t>
      </w:r>
    </w:p>
    <w:p w14:paraId="13BBF710" w14:textId="704C820A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HPC undertakes not to allow anything that would impede such access.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4.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  <w:t>WL undertakes to make good any damage caused by any maintenance or emergency works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5.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  <w:t>WL undertakes to maintain the drain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, including an annual schedule of inspection as set out in Appendix Two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6.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  <w:t xml:space="preserve">WL undertakes to be responsible for any damage or pollution 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because of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 any failure to maintain the drain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 in accordance with the agreed maintenance schedule.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7.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  <w:t xml:space="preserve">WL undertakes to maintain insurance covering the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demised area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 and any pollution or incident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br/>
        <w:t>8.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WL agree to pay legal costs including all disbursements and associated costs up to a maximum of £2,000</w:t>
      </w:r>
      <w:r w:rsidR="00592A40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 including VAT and all disbursements)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. Both WL and HPC will agree the appointment of any solicitor(s) prior to their appointment.</w:t>
      </w:r>
    </w:p>
    <w:p w14:paraId="6C835083" w14:textId="5DC158A1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9.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  <w:t>If HPC subsequently fail to complete an agreement by 31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vertAlign w:val="superscript"/>
          <w:lang w:eastAsia="en-GB"/>
          <w14:ligatures w14:val="none"/>
        </w:rPr>
        <w:t>st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 August 2024 or seek to amend the above terms HPC will reimburse WL all legal or related costs in connection with the preparation of this agreement.</w:t>
      </w:r>
    </w:p>
    <w:p w14:paraId="62783666" w14:textId="2281F6C1" w:rsidR="00113F6A" w:rsidRDefault="00113F6A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9.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  <w:t xml:space="preserve">There be a peppercorn rent covering the </w:t>
      </w:r>
      <w:r w:rsidRPr="00113F6A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easement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 xml:space="preserve"> of £1 per annum in perpetuity.</w:t>
      </w:r>
    </w:p>
    <w:p w14:paraId="38C7E169" w14:textId="4F7B7070" w:rsidR="00592A40" w:rsidRDefault="009F15F9" w:rsidP="00113F6A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10.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  <w:t>HPC warrants it will not allow or encourage any party to take any action that in anyway may interfere with WL rights under this agreement.</w:t>
      </w:r>
    </w:p>
    <w:p w14:paraId="62D913D4" w14:textId="36EEA62D" w:rsidR="00113F6A" w:rsidRPr="00113F6A" w:rsidRDefault="00113F6A" w:rsidP="00113F6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1</w:t>
      </w:r>
      <w:r w:rsidR="00592A40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1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.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ab/>
        <w:t xml:space="preserve">Both parties agree that the easement is registered at Land Registry </w:t>
      </w:r>
      <w:r w:rsidR="00592A40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and/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en-GB"/>
          <w14:ligatures w14:val="none"/>
        </w:rPr>
        <w:t>or as otherwise appropriate.</w:t>
      </w:r>
    </w:p>
    <w:p w14:paraId="64122DC9" w14:textId="77777777" w:rsidR="00A9265D" w:rsidRDefault="00A9265D"/>
    <w:sectPr w:rsidR="00A9265D" w:rsidSect="00BB70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6A"/>
    <w:rsid w:val="0004610A"/>
    <w:rsid w:val="001030C0"/>
    <w:rsid w:val="00113F6A"/>
    <w:rsid w:val="00592A40"/>
    <w:rsid w:val="007D2C61"/>
    <w:rsid w:val="009F15F9"/>
    <w:rsid w:val="00A9265D"/>
    <w:rsid w:val="00B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ABF71"/>
  <w15:chartTrackingRefBased/>
  <w15:docId w15:val="{995A9DF3-C086-1946-B371-D743ACC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1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1639</Characters>
  <Application>Microsoft Office Word</Application>
  <DocSecurity>0</DocSecurity>
  <Lines>56</Lines>
  <Paragraphs>29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guy@guycramer.eu</dc:creator>
  <cp:keywords/>
  <dc:description/>
  <cp:lastModifiedBy>guy@guycramer.eu</cp:lastModifiedBy>
  <cp:revision>1</cp:revision>
  <dcterms:created xsi:type="dcterms:W3CDTF">2024-05-20T16:52:00Z</dcterms:created>
  <dcterms:modified xsi:type="dcterms:W3CDTF">2024-05-20T17:43:00Z</dcterms:modified>
</cp:coreProperties>
</file>